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Avansa rēķins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PA-2026/038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16.09.2026.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Apmaksas termiņš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23.09.2026.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Pārdevējs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AS “Banka”, konts LV00BANK0000000000001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Pircējs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Pamatojums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Cenu piedāvājums Nr. PP-2026/015, pieņemts 16.09.2026.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Pasūtījuma kopsumma bez PVN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1572,00 EUR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Avansa daļa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50%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Nosaukums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Daudz.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Cena bez PVN,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Summa,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Avanss 50% par mājaslapas izstrādi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786,00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786,00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Avanss bez PVN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786,00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165,06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apmaksai,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951,06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Šis ir priekšapmaksas rēķins jeb maksājuma pieprasījums. Par saņemto avansu 15 dienu laikā izrakstīsim nodokļa rēķinu, un gala rēķinā avanss tiks atskaitīts.</w:t>
      </w: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Apmaksas veids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pārskaitījums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Maksājuma mērķis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Avansa rēķins Nr. PA-2026/038</w:t>
            </w:r>
          </w:p>
        </w:tc>
      </w:tr>
    </w:tbl>
    <w:p>
      <w:pPr>
        <w:spacing w:before="0" w:after="0" w:line="120" w:lineRule="exact"/>
      </w:pP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Rēķinu sagatavoja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Avansa rēķins Nr. PA-2026/038</dc:title>
  <dc:creator>Fakts</dc:creator>
  <dc:language>lv-LV</dc:language>
  <dc:description>https://fakts.lv/veidnes/avansa-rekins</dc:description>
</cp:coreProperties>
</file>