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Quote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No. PP-2026/015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15 September 2026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Valid until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15 October 2026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From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No. LV40000000001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LV-1001, Latvia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To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LV-4201, Latvia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Contact: Anna Kalniņa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3951"/>
        <w:gridCol w:w="867"/>
        <w:gridCol w:w="963"/>
        <w:gridCol w:w="1638"/>
        <w:gridCol w:w="1738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No.</w:t>
            </w:r>
          </w:p>
        </w:tc>
        <w:tc>
          <w:tcPr>
            <w:tcW w:w="395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Work or service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Qty</w:t>
            </w:r>
          </w:p>
        </w:tc>
        <w:tc>
          <w:tcPr>
            <w:tcW w:w="16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 price excl. VAT, EUR</w:t>
            </w:r>
          </w:p>
        </w:tc>
        <w:tc>
          <w:tcPr>
            <w:tcW w:w="17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Amount,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Website design, 5 page templates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1,200.00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1,200.00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Content upload from the client’s materials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h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45.00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270.00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Hosting, 12 months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mo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8.50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102.00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Subtotal excl. VAT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1,572.00</w:t>
            </w:r>
          </w:p>
        </w:tc>
      </w:tr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21%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330.12</w:t>
            </w:r>
          </w:p>
        </w:tc>
      </w:tr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Total incl. VAT,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1,902.12</w:t>
            </w:r>
          </w:p>
        </w:tc>
      </w:tr>
    </w:tbl>
    <w:p>
      <w:pPr>
        <w:spacing w:before="0" w:after="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Delivery time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 weeks after the advance is received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Payment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50% advance on acceptance, the balance within 10 days of acceptance of the work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Not included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domain registration and paid stock images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This quote is valid until 15 October 2026. To accept it, sign and return it or confirm in writing by email.</w:t>
      </w: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Prepared by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board member, signature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Accepted by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signature</w:t>
            </w: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en-GB" w:eastAsia="en-GB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Quote No. PP-2026/015</dc:title>
  <dc:creator>Fakts</dc:creator>
  <dc:language>en-GB</dc:language>
  <dc:description>https://fakts.lv/veidnes/cenu-piedavajums</dc:description>
</cp:coreProperties>
</file>